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9720B">
      <w:pPr>
        <w:jc w:val="center"/>
        <w:rPr>
          <w:rFonts w:hint="eastAsia"/>
          <w:lang w:val="en-US" w:eastAsia="zh-CN"/>
        </w:rPr>
      </w:pPr>
      <w:r>
        <w:rPr>
          <w:rFonts w:hint="eastAsia"/>
          <w:lang w:eastAsia="zh-CN"/>
        </w:rPr>
        <w:t>《</w:t>
      </w:r>
      <w:r>
        <w:rPr>
          <w:rFonts w:hint="eastAsia"/>
        </w:rPr>
        <w:t>全面推进依法治国的总目标与原则</w:t>
      </w:r>
      <w:r>
        <w:rPr>
          <w:rFonts w:hint="eastAsia"/>
          <w:lang w:eastAsia="zh-CN"/>
        </w:rPr>
        <w:t>》</w:t>
      </w:r>
      <w:r>
        <w:rPr>
          <w:rFonts w:hint="eastAsia"/>
          <w:lang w:val="en-US" w:eastAsia="zh-CN"/>
        </w:rPr>
        <w:t>教案</w:t>
      </w:r>
    </w:p>
    <w:p w14:paraId="4168C936">
      <w:pPr>
        <w:jc w:val="center"/>
        <w:rPr>
          <w:rFonts w:hint="eastAsia"/>
          <w:lang w:val="en-US" w:eastAsia="zh-CN"/>
        </w:rPr>
      </w:pPr>
    </w:p>
    <w:p w14:paraId="18ADA95F">
      <w:pPr>
        <w:jc w:val="center"/>
        <w:rPr>
          <w:rFonts w:hint="eastAsia"/>
          <w:lang w:val="en-US" w:eastAsia="zh-CN"/>
        </w:rPr>
      </w:pPr>
      <w:bookmarkStart w:id="0" w:name="_GoBack"/>
      <w:bookmarkEnd w:id="0"/>
    </w:p>
    <w:tbl>
      <w:tblPr>
        <w:tblStyle w:val="4"/>
        <w:tblW w:w="9639" w:type="dxa"/>
        <w:tblInd w:w="15" w:type="dxa"/>
        <w:tblLayout w:type="fixed"/>
        <w:tblCellMar>
          <w:top w:w="0" w:type="dxa"/>
          <w:left w:w="0" w:type="dxa"/>
          <w:bottom w:w="0" w:type="dxa"/>
          <w:right w:w="0" w:type="dxa"/>
        </w:tblCellMar>
      </w:tblPr>
      <w:tblGrid>
        <w:gridCol w:w="7797"/>
        <w:gridCol w:w="1842"/>
      </w:tblGrid>
      <w:tr w14:paraId="64468439">
        <w:tblPrEx>
          <w:tblCellMar>
            <w:top w:w="0" w:type="dxa"/>
            <w:left w:w="0" w:type="dxa"/>
            <w:bottom w:w="0" w:type="dxa"/>
            <w:right w:w="0" w:type="dxa"/>
          </w:tblCellMar>
        </w:tblPrEx>
        <w:trPr>
          <w:trHeight w:val="960"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7F8F2B04">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一、教材分析：</w:t>
            </w:r>
          </w:p>
          <w:p w14:paraId="40B045A1">
            <w:pPr>
              <w:ind w:firstLine="420" w:firstLineChars="200"/>
              <w:rPr>
                <w:rFonts w:ascii="宋体" w:hAnsi="宋体" w:eastAsia="宋体" w:cs="宋体"/>
                <w:sz w:val="21"/>
                <w:szCs w:val="21"/>
              </w:rPr>
            </w:pPr>
            <w:r>
              <w:rPr>
                <w:rFonts w:hint="eastAsia" w:ascii="宋体" w:hAnsi="宋体" w:eastAsia="宋体" w:cs="宋体"/>
                <w:sz w:val="21"/>
                <w:szCs w:val="21"/>
              </w:rPr>
              <w:t>本框题处于高中政治必修三的第三单元，必修三以中国共产党的领导、人民当家作主、全面依法治国有机统一为主线，帮助学生形成基本的政治素养与法治素养；党的领导是人民当家作主和依法治国的根本保证，人民当家作主是社会主义民主政治的本质特征，依法治国是党领导人民治理国家（实现人民当家作主）的基本方式；因此本单元是坚持党的领导、人民当家作主、依法治国有机统一的重要环节，是本册教材的重点单元。</w:t>
            </w:r>
          </w:p>
          <w:p w14:paraId="0EF70E3C">
            <w:pPr>
              <w:ind w:firstLine="420" w:firstLineChars="200"/>
              <w:rPr>
                <w:rFonts w:ascii="宋体" w:hAnsi="宋体" w:eastAsia="宋体" w:cs="宋体"/>
                <w:sz w:val="21"/>
                <w:szCs w:val="21"/>
              </w:rPr>
            </w:pPr>
            <w:r>
              <w:rPr>
                <w:rFonts w:hint="eastAsia" w:ascii="宋体" w:hAnsi="宋体" w:eastAsia="宋体" w:cs="宋体"/>
                <w:sz w:val="21"/>
                <w:szCs w:val="21"/>
              </w:rPr>
              <w:t>本框题处于第三单元的第七课，第三单元共三课内容，第七课“治国理政的基本方式”讲述了我国法治建设的历程和全民推进依法治国的总目标与原则；第八课“法治中国建设”讲述了法治国家、法治政府和法治社会的一体化建设；第九课“全面推进依法治国的基本要求”则讲述了全民推进依法治国要坚持科学立法、严格执法、公正司法、全民守法。通过三课的内容，引导学生深刻理解全民推进依法治国的总目标和原则，明确在总目标统领下的重点任务，坚持法治国家、法治政府、法治社会一体建设，实现科学立法、严格执法、公正司法、全民守法。因此本框体所在的第七课是第三单元的逻辑起点，起到了理论奠基的重要作用。本框题是第七课的第二框“全面推进依法治国的总目标与原则”，阐述了全面推进依法治国的总目标与全面推进依法治国的原则。</w:t>
            </w:r>
          </w:p>
        </w:tc>
      </w:tr>
      <w:tr w14:paraId="219346FF">
        <w:tblPrEx>
          <w:tblCellMar>
            <w:top w:w="0" w:type="dxa"/>
            <w:left w:w="0" w:type="dxa"/>
            <w:bottom w:w="0" w:type="dxa"/>
            <w:right w:w="0" w:type="dxa"/>
          </w:tblCellMar>
        </w:tblPrEx>
        <w:trPr>
          <w:trHeight w:val="1040"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2A039B6F">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二、学情分析：</w:t>
            </w:r>
          </w:p>
          <w:p w14:paraId="53EECF07">
            <w:pPr>
              <w:ind w:firstLine="420" w:firstLineChars="200"/>
              <w:rPr>
                <w:rFonts w:ascii="宋体" w:hAnsi="宋体" w:eastAsia="宋体" w:cs="宋体"/>
                <w:sz w:val="21"/>
                <w:szCs w:val="21"/>
              </w:rPr>
            </w:pPr>
            <w:r>
              <w:rPr>
                <w:rFonts w:hint="eastAsia" w:ascii="宋体" w:hAnsi="宋体" w:eastAsia="宋体" w:cs="宋体"/>
                <w:sz w:val="21"/>
                <w:szCs w:val="21"/>
              </w:rPr>
              <w:t>知识储备：所授学生为高一下的学生，学生在初中八年级上册第二单元第五课“做守法的公民”中学习了法不可违，预防犯罪和善用法律的内容，在八年级下册第一单元“坚持宪法至上”和第四单元“崇尚法治精神”中学习了基本的法律知识。还在九年级上册第二单元“民主与法治”中学习了追求民主价值和建设法治中国的内容。再加之学生在日常生活中，在上网和社会宣传中都有接触一定的法律知识，所以学生已经具备一定的知识基础。</w:t>
            </w:r>
          </w:p>
          <w:p w14:paraId="23A6B0E5">
            <w:pPr>
              <w:ind w:firstLine="420" w:firstLineChars="200"/>
              <w:rPr>
                <w:rFonts w:ascii="宋体" w:hAnsi="宋体" w:eastAsia="宋体" w:cs="宋体"/>
                <w:sz w:val="21"/>
                <w:szCs w:val="21"/>
              </w:rPr>
            </w:pPr>
            <w:r>
              <w:rPr>
                <w:rFonts w:hint="eastAsia" w:ascii="宋体" w:hAnsi="宋体" w:eastAsia="宋体" w:cs="宋体"/>
                <w:sz w:val="21"/>
                <w:szCs w:val="21"/>
              </w:rPr>
              <w:t>学习能力：学生经过高一上的锻炼，探究能力、辨析能力、合作能力等都有所增强，因此在教学过程中可采用议题式教学法，并设计一些合作探究活动，让学生自主学习、探究学习，合作学习，在锻炼中增强能力。</w:t>
            </w:r>
          </w:p>
          <w:p w14:paraId="00E9628F">
            <w:pPr>
              <w:ind w:firstLine="420" w:firstLineChars="200"/>
              <w:rPr>
                <w:rFonts w:ascii="宋体" w:hAnsi="宋体" w:eastAsia="宋体" w:cs="宋体"/>
                <w:sz w:val="21"/>
                <w:szCs w:val="21"/>
              </w:rPr>
            </w:pPr>
            <w:r>
              <w:rPr>
                <w:rFonts w:hint="eastAsia" w:ascii="宋体" w:hAnsi="宋体" w:eastAsia="宋体" w:cs="宋体"/>
                <w:sz w:val="21"/>
                <w:szCs w:val="21"/>
              </w:rPr>
              <w:t>情感态度价值观：学生对于法治中国建设天然地具有情感上的认同感，但缺乏深层次的理性认同，需要不断深入的学习，加深理解和认同感。</w:t>
            </w:r>
          </w:p>
        </w:tc>
      </w:tr>
      <w:tr w14:paraId="5AF9AF82">
        <w:tblPrEx>
          <w:tblCellMar>
            <w:top w:w="0" w:type="dxa"/>
            <w:left w:w="0" w:type="dxa"/>
            <w:bottom w:w="0" w:type="dxa"/>
            <w:right w:w="0" w:type="dxa"/>
          </w:tblCellMar>
        </w:tblPrEx>
        <w:trPr>
          <w:trHeight w:val="55"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43E65950">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三、学习目标：</w:t>
            </w:r>
          </w:p>
          <w:p w14:paraId="646C4D1A">
            <w:pPr>
              <w:widowControl/>
              <w:jc w:val="left"/>
              <w:rPr>
                <w:rFonts w:ascii="宋体" w:hAnsi="宋体" w:eastAsia="宋体" w:cs="宋体"/>
                <w:kern w:val="0"/>
                <w:sz w:val="21"/>
                <w:szCs w:val="21"/>
              </w:rPr>
            </w:pPr>
            <w:r>
              <w:rPr>
                <w:rFonts w:hint="eastAsia" w:ascii="宋体" w:hAnsi="宋体" w:eastAsia="宋体" w:cs="宋体"/>
                <w:kern w:val="0"/>
                <w:sz w:val="21"/>
                <w:szCs w:val="21"/>
              </w:rPr>
              <w:t>明确全面推进依法治国的总目标是建设中国特色社会主义法治体系，建设社会主义法治国家。</w:t>
            </w:r>
          </w:p>
        </w:tc>
      </w:tr>
      <w:tr w14:paraId="7DFFA9CD">
        <w:tblPrEx>
          <w:tblCellMar>
            <w:top w:w="0" w:type="dxa"/>
            <w:left w:w="0" w:type="dxa"/>
            <w:bottom w:w="0" w:type="dxa"/>
            <w:right w:w="0" w:type="dxa"/>
          </w:tblCellMar>
        </w:tblPrEx>
        <w:trPr>
          <w:trHeight w:val="900"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77582FBF">
            <w:pPr>
              <w:pStyle w:val="6"/>
              <w:numPr>
                <w:ilvl w:val="0"/>
                <w:numId w:val="2"/>
              </w:numPr>
              <w:spacing w:line="240" w:lineRule="auto"/>
              <w:rPr>
                <w:rFonts w:ascii="宋体" w:hAnsi="宋体" w:eastAsia="宋体" w:cs="宋体"/>
                <w:b/>
                <w:bCs/>
                <w:sz w:val="21"/>
                <w:szCs w:val="21"/>
              </w:rPr>
            </w:pPr>
            <w:r>
              <w:rPr>
                <w:rFonts w:hint="eastAsia" w:ascii="宋体" w:hAnsi="宋体" w:eastAsia="宋体" w:cs="宋体"/>
                <w:b/>
                <w:bCs/>
                <w:sz w:val="21"/>
                <w:szCs w:val="21"/>
              </w:rPr>
              <w:t>核心素养：</w:t>
            </w:r>
          </w:p>
          <w:p w14:paraId="253E545B">
            <w:pPr>
              <w:rPr>
                <w:sz w:val="21"/>
                <w:szCs w:val="21"/>
              </w:rPr>
            </w:pPr>
            <w:r>
              <w:rPr>
                <w:rFonts w:hint="eastAsia"/>
                <w:sz w:val="21"/>
                <w:szCs w:val="21"/>
              </w:rPr>
              <w:t>1.政治认同：理解全面依法治国是国家治理的一场深刻革命，明确全面推进依法治国的总目标是就是中国特色社会主义法治体系，建设社会主义法治国家。</w:t>
            </w:r>
          </w:p>
          <w:p w14:paraId="2894945E">
            <w:pPr>
              <w:rPr>
                <w:sz w:val="21"/>
                <w:szCs w:val="21"/>
              </w:rPr>
            </w:pPr>
            <w:r>
              <w:rPr>
                <w:rFonts w:hint="eastAsia"/>
                <w:sz w:val="21"/>
                <w:szCs w:val="21"/>
              </w:rPr>
              <w:t>2.科学精神：树立法治思维和法治意识，能够运用法治思维分析生活中的相关案例。</w:t>
            </w:r>
          </w:p>
          <w:p w14:paraId="33EF25ED">
            <w:pPr>
              <w:rPr>
                <w:sz w:val="21"/>
                <w:szCs w:val="21"/>
              </w:rPr>
            </w:pPr>
            <w:r>
              <w:rPr>
                <w:rFonts w:hint="eastAsia"/>
                <w:sz w:val="21"/>
                <w:szCs w:val="21"/>
              </w:rPr>
              <w:t>3.法治意识：明确全面推进依法治国的原则和具体要求，坚定尊法守法学法的信念。</w:t>
            </w:r>
          </w:p>
          <w:p w14:paraId="6BDED087">
            <w:pPr>
              <w:rPr>
                <w:b/>
                <w:bCs/>
                <w:sz w:val="21"/>
                <w:szCs w:val="21"/>
              </w:rPr>
            </w:pPr>
            <w:r>
              <w:rPr>
                <w:rFonts w:hint="eastAsia"/>
                <w:sz w:val="21"/>
                <w:szCs w:val="21"/>
              </w:rPr>
              <w:t>4.公共参与：现实社会中尊法守法学法用法。</w:t>
            </w:r>
          </w:p>
        </w:tc>
      </w:tr>
      <w:tr w14:paraId="32C0A5D3">
        <w:tblPrEx>
          <w:tblCellMar>
            <w:top w:w="0" w:type="dxa"/>
            <w:left w:w="0" w:type="dxa"/>
            <w:bottom w:w="0" w:type="dxa"/>
            <w:right w:w="0" w:type="dxa"/>
          </w:tblCellMar>
        </w:tblPrEx>
        <w:trPr>
          <w:trHeight w:val="171"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45807BB3">
            <w:pPr>
              <w:ind w:left="480" w:hanging="422" w:hangingChars="200"/>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五、学习重难点：</w:t>
            </w:r>
          </w:p>
          <w:p w14:paraId="5D3B481A">
            <w:pPr>
              <w:rPr>
                <w:rFonts w:ascii="宋体" w:hAnsi="宋体" w:eastAsia="宋体" w:cs="宋体"/>
                <w:sz w:val="21"/>
                <w:szCs w:val="21"/>
              </w:rPr>
            </w:pPr>
            <w:r>
              <w:rPr>
                <w:rFonts w:hint="eastAsia" w:ascii="宋体" w:hAnsi="宋体" w:eastAsia="宋体" w:cs="宋体"/>
                <w:b/>
                <w:bCs/>
                <w:sz w:val="21"/>
                <w:szCs w:val="21"/>
              </w:rPr>
              <w:t>教学重点：</w:t>
            </w:r>
            <w:r>
              <w:rPr>
                <w:rFonts w:hint="eastAsia" w:ascii="宋体" w:hAnsi="宋体" w:eastAsia="宋体" w:cs="宋体"/>
                <w:sz w:val="21"/>
                <w:szCs w:val="21"/>
              </w:rPr>
              <w:t>坚持习近平法治思想</w:t>
            </w:r>
          </w:p>
          <w:p w14:paraId="210BAF72">
            <w:pPr>
              <w:pStyle w:val="3"/>
              <w:tabs>
                <w:tab w:val="left" w:pos="3402"/>
              </w:tabs>
              <w:snapToGrid w:val="0"/>
              <w:jc w:val="left"/>
              <w:rPr>
                <w:rFonts w:hAnsi="宋体" w:eastAsia="宋体" w:cs="宋体"/>
                <w:b/>
                <w:bCs/>
                <w:color w:val="000000"/>
                <w:sz w:val="21"/>
                <w:szCs w:val="21"/>
              </w:rPr>
            </w:pPr>
            <w:r>
              <w:rPr>
                <w:rFonts w:hint="eastAsia" w:hAnsi="宋体" w:eastAsia="宋体" w:cs="宋体"/>
                <w:b/>
                <w:bCs/>
                <w:sz w:val="21"/>
                <w:szCs w:val="21"/>
              </w:rPr>
              <w:t>教学难点：</w:t>
            </w:r>
            <w:r>
              <w:rPr>
                <w:rFonts w:hint="eastAsia" w:hAnsi="宋体" w:eastAsia="宋体" w:cs="宋体"/>
                <w:sz w:val="21"/>
                <w:szCs w:val="21"/>
              </w:rPr>
              <w:t>全面推进依法治国总目标的科学内涵</w:t>
            </w:r>
          </w:p>
        </w:tc>
      </w:tr>
      <w:tr w14:paraId="34AEEB34">
        <w:tblPrEx>
          <w:tblCellMar>
            <w:top w:w="0" w:type="dxa"/>
            <w:left w:w="0" w:type="dxa"/>
            <w:bottom w:w="0" w:type="dxa"/>
            <w:right w:w="0" w:type="dxa"/>
          </w:tblCellMar>
        </w:tblPrEx>
        <w:trPr>
          <w:trHeight w:val="430"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3F68D3B2">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六、议学活动设计：</w:t>
            </w:r>
          </w:p>
        </w:tc>
      </w:tr>
      <w:tr w14:paraId="17F1612C">
        <w:tblPrEx>
          <w:tblCellMar>
            <w:top w:w="0" w:type="dxa"/>
            <w:left w:w="0" w:type="dxa"/>
            <w:bottom w:w="0" w:type="dxa"/>
            <w:right w:w="0" w:type="dxa"/>
          </w:tblCellMar>
        </w:tblPrEx>
        <w:trPr>
          <w:trHeight w:val="55"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205EEF97">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导入新课：</w:t>
            </w:r>
          </w:p>
          <w:p w14:paraId="4CDE07C6">
            <w:pPr>
              <w:ind w:firstLine="422" w:firstLineChars="200"/>
              <w:rPr>
                <w:rFonts w:ascii="宋体" w:hAnsi="宋体" w:eastAsia="宋体" w:cs="宋体"/>
                <w:sz w:val="21"/>
                <w:szCs w:val="21"/>
              </w:rPr>
            </w:pPr>
            <w:r>
              <w:rPr>
                <w:rFonts w:hint="eastAsia"/>
                <w:b/>
                <w:bCs/>
                <w:sz w:val="21"/>
                <w:szCs w:val="21"/>
              </w:rPr>
              <w:t>视频：男子发表涉731受难者不当言论被刑拘。这种现象反映出我国爱国主义教育还存在着缺失，那么我们应该如何解决该问题呢？让我们带着该问题进入今天的新课学习</w:t>
            </w:r>
          </w:p>
        </w:tc>
      </w:tr>
      <w:tr w14:paraId="50196F62">
        <w:tblPrEx>
          <w:tblCellMar>
            <w:top w:w="0" w:type="dxa"/>
            <w:left w:w="0" w:type="dxa"/>
            <w:bottom w:w="0" w:type="dxa"/>
            <w:right w:w="0" w:type="dxa"/>
          </w:tblCellMar>
        </w:tblPrEx>
        <w:trPr>
          <w:trHeight w:val="539"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021944">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议学环节一：立良法行善治，健全法律体系，实现全面依法治国目标</w:t>
            </w:r>
          </w:p>
        </w:tc>
      </w:tr>
      <w:tr w14:paraId="362EC9C4">
        <w:tblPrEx>
          <w:tblCellMar>
            <w:top w:w="0" w:type="dxa"/>
            <w:left w:w="0" w:type="dxa"/>
            <w:bottom w:w="0" w:type="dxa"/>
            <w:right w:w="0" w:type="dxa"/>
          </w:tblCellMar>
        </w:tblPrEx>
        <w:trPr>
          <w:trHeight w:val="540" w:hRule="atLeast"/>
        </w:trPr>
        <w:tc>
          <w:tcPr>
            <w:tcW w:w="77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1418291B">
            <w:pPr>
              <w:widowControl/>
              <w:jc w:val="left"/>
              <w:textAlignment w:val="center"/>
              <w:rPr>
                <w:rFonts w:ascii="宋体" w:hAnsi="宋体" w:eastAsia="宋体" w:cs="宋体"/>
                <w:sz w:val="21"/>
                <w:szCs w:val="21"/>
              </w:rPr>
            </w:pPr>
            <w:r>
              <w:rPr>
                <w:rFonts w:hint="eastAsia" w:ascii="宋体" w:hAnsi="宋体" w:eastAsia="宋体" w:cs="宋体"/>
                <w:sz w:val="21"/>
                <w:szCs w:val="21"/>
              </w:rPr>
              <w:t>教师活动1：</w:t>
            </w:r>
          </w:p>
          <w:p w14:paraId="60E9639B">
            <w:pPr>
              <w:widowControl/>
              <w:ind w:firstLine="420" w:firstLineChars="200"/>
              <w:jc w:val="left"/>
              <w:textAlignment w:val="center"/>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.展示材料：《中华人民共和国爱国主义教育法》于1月1日起实行</w:t>
            </w:r>
          </w:p>
          <w:p w14:paraId="6E346D46">
            <w:pPr>
              <w:widowControl/>
              <w:ind w:firstLine="420" w:firstLineChars="200"/>
              <w:jc w:val="left"/>
              <w:textAlignment w:val="center"/>
              <w:rPr>
                <w:rFonts w:ascii="宋体" w:hAnsi="宋体" w:eastAsia="宋体" w:cs="宋体"/>
                <w:sz w:val="21"/>
                <w:szCs w:val="21"/>
              </w:rPr>
            </w:pPr>
            <w:r>
              <w:rPr>
                <w:rFonts w:hint="eastAsia" w:ascii="宋体" w:hAnsi="宋体" w:eastAsia="宋体" w:cs="宋体"/>
                <w:sz w:val="21"/>
                <w:szCs w:val="21"/>
              </w:rPr>
              <w:t>2023年10月24日，十四届全国人大常委会第六次会议表决通过《中华人民共和国爱国主义教育法》，自2024年1月1日起施行。</w:t>
            </w:r>
          </w:p>
          <w:p w14:paraId="21037D25">
            <w:pPr>
              <w:widowControl/>
              <w:ind w:firstLine="420" w:firstLineChars="200"/>
              <w:jc w:val="left"/>
              <w:textAlignment w:val="center"/>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.展示议学问题：分析我国为什么要专门出台法律来推进爱国主义教育？</w:t>
            </w:r>
          </w:p>
          <w:p w14:paraId="52EF1060">
            <w:pPr>
              <w:widowControl/>
              <w:jc w:val="left"/>
              <w:textAlignment w:val="center"/>
              <w:rPr>
                <w:rFonts w:ascii="宋体" w:hAnsi="宋体" w:eastAsia="宋体" w:cs="宋体"/>
                <w:b/>
                <w:bCs/>
                <w:sz w:val="21"/>
                <w:szCs w:val="21"/>
              </w:rPr>
            </w:pPr>
            <w:r>
              <w:rPr>
                <w:rFonts w:hint="eastAsia" w:ascii="宋体" w:hAnsi="宋体" w:eastAsia="宋体" w:cs="宋体"/>
                <w:b/>
                <w:bCs/>
                <w:sz w:val="21"/>
                <w:szCs w:val="21"/>
              </w:rPr>
              <w:t>（提示：根据材料，由此回答得出推进全面依法治国的原因。学生预习后可以从课本得出答案，让学生在课本中找出相关知识点。）</w:t>
            </w:r>
          </w:p>
          <w:p w14:paraId="6117DB31">
            <w:pPr>
              <w:widowControl/>
              <w:ind w:firstLine="420" w:firstLineChars="200"/>
              <w:jc w:val="left"/>
              <w:textAlignment w:val="center"/>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展示材料：爱国主义教育法的系统性</w:t>
            </w:r>
          </w:p>
          <w:p w14:paraId="2AA2C198">
            <w:pPr>
              <w:widowControl/>
              <w:ind w:firstLine="420" w:firstLineChars="200"/>
              <w:jc w:val="left"/>
              <w:textAlignment w:val="center"/>
              <w:rPr>
                <w:rFonts w:ascii="宋体" w:hAnsi="宋体" w:eastAsia="宋体" w:cs="宋体"/>
                <w:sz w:val="21"/>
                <w:szCs w:val="21"/>
              </w:rPr>
            </w:pPr>
            <w:r>
              <w:rPr>
                <w:rFonts w:hint="eastAsia" w:ascii="宋体" w:hAnsi="宋体" w:eastAsia="宋体" w:cs="宋体"/>
                <w:sz w:val="21"/>
                <w:szCs w:val="21"/>
              </w:rPr>
              <w:t>此前，我国出台了一系列的法律法规如《爱国主义教育实施纲要》、《关于教育系统深入开展爱国主义教育的实施意见》、国旗法、英烈保护法等，这些法律法规的制定实施令我国的爱国主义教育取得了显著成效，并为爱国主义教育的立法工作做了充分的法律准备。但我国爱国主义教育依然存在着主体责任不明确、监管力度不充分、问责机制不健全等问题。</w:t>
            </w:r>
          </w:p>
          <w:p w14:paraId="57223C3E">
            <w:pPr>
              <w:widowControl/>
              <w:ind w:firstLine="420" w:firstLineChars="200"/>
              <w:jc w:val="left"/>
              <w:textAlignment w:val="center"/>
              <w:rPr>
                <w:rFonts w:ascii="宋体" w:hAnsi="宋体" w:eastAsia="宋体" w:cs="宋体"/>
                <w:sz w:val="21"/>
                <w:szCs w:val="21"/>
              </w:rPr>
            </w:pPr>
            <w:r>
              <w:rPr>
                <w:rFonts w:hint="eastAsia" w:ascii="宋体" w:hAnsi="宋体" w:eastAsia="宋体" w:cs="宋体"/>
                <w:sz w:val="21"/>
                <w:szCs w:val="21"/>
              </w:rPr>
              <w:t>而爱国主义教育法明确了从上到下各级主体责任，形成党政共管、上下齐抓、全民参与、全民共建、全民共享的基本格局，使爱国主义教育发挥出前所未有的最大化、整体化、全面化的效果。爱国主义教育法对爱国主义教育各要素、各环节、各步骤进行了优化升级、耦合联动，立足新形式、结合新特点，为爱国主义教育迈向新高度、取得新成效提供法治保障。</w:t>
            </w:r>
          </w:p>
          <w:p w14:paraId="798B438D">
            <w:pPr>
              <w:widowControl/>
              <w:ind w:firstLine="420" w:firstLineChars="200"/>
              <w:jc w:val="left"/>
              <w:textAlignment w:val="center"/>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.展示议学问题：分析爱国主义教育法的系统性对于我国全面推进依法治国有什么启示？</w:t>
            </w:r>
          </w:p>
          <w:p w14:paraId="0C86C5BF">
            <w:pPr>
              <w:widowControl/>
              <w:ind w:firstLine="422" w:firstLineChars="200"/>
              <w:jc w:val="left"/>
              <w:textAlignment w:val="center"/>
              <w:rPr>
                <w:rFonts w:ascii="宋体" w:hAnsi="宋体" w:eastAsia="宋体" w:cs="宋体"/>
                <w:b/>
                <w:bCs/>
                <w:sz w:val="21"/>
                <w:szCs w:val="21"/>
              </w:rPr>
            </w:pPr>
            <w:r>
              <w:rPr>
                <w:rFonts w:hint="eastAsia" w:ascii="宋体" w:hAnsi="宋体" w:eastAsia="宋体" w:cs="宋体"/>
                <w:b/>
                <w:bCs/>
                <w:sz w:val="21"/>
                <w:szCs w:val="21"/>
              </w:rPr>
              <w:t>（提示：根据材料，由此回答得出全面推进依法治国的总目标和要求。学生预习后可以从课本得出答案，让学生在课本中找出相关知识点。）</w:t>
            </w:r>
          </w:p>
          <w:p w14:paraId="285AC077">
            <w:pPr>
              <w:widowControl/>
              <w:ind w:firstLine="420" w:firstLineChars="200"/>
              <w:jc w:val="left"/>
              <w:textAlignment w:val="center"/>
              <w:rPr>
                <w:rFonts w:ascii="宋体" w:hAnsi="宋体" w:eastAsia="宋体" w:cs="宋体"/>
                <w:sz w:val="21"/>
                <w:szCs w:val="21"/>
              </w:rPr>
            </w:pPr>
            <w:r>
              <w:rPr>
                <w:rFonts w:hint="eastAsia" w:ascii="宋体" w:hAnsi="宋体" w:eastAsia="宋体" w:cs="宋体"/>
                <w:sz w:val="21"/>
                <w:szCs w:val="21"/>
              </w:rPr>
              <w:t>议学活动要求：在此环节中，要求同学们阅读材料，自主思考回答问题，注意术语的规范使用。</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1C10A4E7">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学生活动1：</w:t>
            </w:r>
          </w:p>
          <w:p w14:paraId="33B4CBF2">
            <w:pPr>
              <w:widowControl/>
              <w:jc w:val="left"/>
              <w:textAlignment w:val="center"/>
              <w:rPr>
                <w:rFonts w:ascii="宋体" w:hAnsi="宋体" w:eastAsia="宋体" w:cs="宋体"/>
                <w:b/>
                <w:bCs/>
                <w:color w:val="000000"/>
                <w:kern w:val="0"/>
                <w:sz w:val="21"/>
                <w:szCs w:val="21"/>
                <w:lang w:bidi="ar"/>
              </w:rPr>
            </w:pPr>
          </w:p>
          <w:p w14:paraId="7E6717E0">
            <w:pPr>
              <w:widowControl/>
              <w:numPr>
                <w:ilvl w:val="0"/>
                <w:numId w:val="3"/>
              </w:numPr>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阅读材料，提取关键信息，做好议学准备。</w:t>
            </w:r>
          </w:p>
          <w:p w14:paraId="76EF5CFB">
            <w:pPr>
              <w:widowControl/>
              <w:jc w:val="left"/>
              <w:textAlignment w:val="center"/>
              <w:rPr>
                <w:rFonts w:ascii="宋体" w:hAnsi="宋体" w:eastAsia="宋体" w:cs="宋体"/>
                <w:color w:val="000000"/>
                <w:kern w:val="0"/>
                <w:sz w:val="21"/>
                <w:szCs w:val="21"/>
                <w:lang w:bidi="ar"/>
              </w:rPr>
            </w:pPr>
          </w:p>
          <w:p w14:paraId="60031430">
            <w:pPr>
              <w:widowControl/>
              <w:jc w:val="left"/>
              <w:textAlignment w:val="center"/>
              <w:rPr>
                <w:rFonts w:ascii="宋体" w:hAnsi="宋体" w:eastAsia="宋体" w:cs="宋体"/>
                <w:color w:val="000000"/>
                <w:kern w:val="0"/>
                <w:sz w:val="21"/>
                <w:szCs w:val="21"/>
                <w:lang w:bidi="ar"/>
              </w:rPr>
            </w:pPr>
          </w:p>
          <w:p w14:paraId="7EFACA22">
            <w:pPr>
              <w:widowControl/>
              <w:jc w:val="left"/>
              <w:textAlignment w:val="center"/>
              <w:rPr>
                <w:rFonts w:ascii="宋体" w:hAnsi="宋体" w:eastAsia="宋体" w:cs="宋体"/>
                <w:color w:val="000000"/>
                <w:kern w:val="0"/>
                <w:sz w:val="21"/>
                <w:szCs w:val="21"/>
                <w:lang w:bidi="ar"/>
              </w:rPr>
            </w:pPr>
          </w:p>
          <w:p w14:paraId="232AA705">
            <w:pPr>
              <w:widowControl/>
              <w:jc w:val="left"/>
              <w:textAlignment w:val="center"/>
              <w:rPr>
                <w:rFonts w:hint="eastAsia" w:ascii="宋体" w:hAnsi="宋体" w:eastAsia="宋体" w:cs="宋体"/>
                <w:color w:val="000000"/>
                <w:kern w:val="0"/>
                <w:sz w:val="21"/>
                <w:szCs w:val="21"/>
                <w:lang w:bidi="ar"/>
              </w:rPr>
            </w:pPr>
          </w:p>
          <w:p w14:paraId="0492FF7C">
            <w:pPr>
              <w:widowControl/>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2.认真研读议学问题，列出自己的观点，做好分享准备。</w:t>
            </w:r>
          </w:p>
          <w:p w14:paraId="3975EF84">
            <w:pPr>
              <w:widowControl/>
              <w:jc w:val="left"/>
              <w:textAlignment w:val="center"/>
              <w:rPr>
                <w:rFonts w:ascii="宋体" w:hAnsi="宋体" w:eastAsia="宋体" w:cs="宋体"/>
                <w:color w:val="000000"/>
                <w:kern w:val="0"/>
                <w:sz w:val="21"/>
                <w:szCs w:val="21"/>
                <w:lang w:bidi="ar"/>
              </w:rPr>
            </w:pPr>
          </w:p>
          <w:p w14:paraId="31BCC20C">
            <w:pPr>
              <w:widowControl/>
              <w:jc w:val="left"/>
              <w:textAlignment w:val="center"/>
              <w:rPr>
                <w:rFonts w:ascii="宋体" w:hAnsi="宋体" w:eastAsia="宋体" w:cs="宋体"/>
                <w:color w:val="000000"/>
                <w:kern w:val="0"/>
                <w:sz w:val="21"/>
                <w:szCs w:val="21"/>
                <w:lang w:bidi="ar"/>
              </w:rPr>
            </w:pPr>
          </w:p>
          <w:p w14:paraId="4D28544E">
            <w:pPr>
              <w:widowControl/>
              <w:jc w:val="left"/>
              <w:textAlignment w:val="center"/>
              <w:rPr>
                <w:rFonts w:hint="eastAsia" w:ascii="宋体" w:hAnsi="宋体" w:eastAsia="宋体" w:cs="宋体"/>
                <w:color w:val="000000"/>
                <w:kern w:val="0"/>
                <w:sz w:val="21"/>
                <w:szCs w:val="21"/>
                <w:lang w:bidi="ar"/>
              </w:rPr>
            </w:pPr>
          </w:p>
          <w:p w14:paraId="198A4FE1">
            <w:pPr>
              <w:widowControl/>
              <w:jc w:val="left"/>
              <w:textAlignment w:val="center"/>
              <w:rPr>
                <w:rFonts w:hint="eastAsia" w:ascii="宋体" w:hAnsi="宋体" w:eastAsia="宋体" w:cs="宋体"/>
                <w:color w:val="000000"/>
                <w:kern w:val="0"/>
                <w:sz w:val="21"/>
                <w:szCs w:val="21"/>
                <w:lang w:bidi="ar"/>
              </w:rPr>
            </w:pPr>
          </w:p>
          <w:p w14:paraId="3AF402CD">
            <w:pPr>
              <w:widowControl/>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3.根据议学提示，在课本对应位置将基本观点备注清楚。</w:t>
            </w:r>
          </w:p>
        </w:tc>
      </w:tr>
      <w:tr w14:paraId="14D0306C">
        <w:tblPrEx>
          <w:tblCellMar>
            <w:top w:w="0" w:type="dxa"/>
            <w:left w:w="0" w:type="dxa"/>
            <w:bottom w:w="0" w:type="dxa"/>
            <w:right w:w="0" w:type="dxa"/>
          </w:tblCellMar>
        </w:tblPrEx>
        <w:trPr>
          <w:trHeight w:val="540"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7248207C">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设计意图：</w:t>
            </w:r>
          </w:p>
          <w:p w14:paraId="57A934C8">
            <w:pPr>
              <w:ind w:firstLine="420" w:firstLineChars="200"/>
              <w:rPr>
                <w:rFonts w:ascii="宋体" w:hAnsi="宋体" w:eastAsia="宋体" w:cs="宋体"/>
                <w:b/>
                <w:bCs/>
                <w:color w:val="000000"/>
                <w:kern w:val="0"/>
                <w:sz w:val="21"/>
                <w:szCs w:val="21"/>
                <w:lang w:bidi="ar"/>
              </w:rPr>
            </w:pPr>
            <w:r>
              <w:rPr>
                <w:rFonts w:hint="eastAsia" w:ascii="宋体" w:hAnsi="宋体" w:eastAsia="宋体" w:cs="宋体"/>
                <w:sz w:val="21"/>
                <w:szCs w:val="21"/>
              </w:rPr>
              <w:t>以我国爱国主义教育法为情境素材，要求学生在观看议学情境素材后结合课本所学知识得出答案。能够帮助学生了解时事，明确我国的全面推进依法治国的原因、总目标及要求的相关知识。</w:t>
            </w:r>
          </w:p>
        </w:tc>
      </w:tr>
      <w:tr w14:paraId="21412197">
        <w:tblPrEx>
          <w:tblCellMar>
            <w:top w:w="0" w:type="dxa"/>
            <w:left w:w="0" w:type="dxa"/>
            <w:bottom w:w="0" w:type="dxa"/>
            <w:right w:w="0" w:type="dxa"/>
          </w:tblCellMar>
        </w:tblPrEx>
        <w:trPr>
          <w:trHeight w:val="539"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A7A926">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议学环节二：出台爱国主义教育法，践行全面依法治国的原则</w:t>
            </w:r>
          </w:p>
        </w:tc>
      </w:tr>
      <w:tr w14:paraId="37AFC132">
        <w:tblPrEx>
          <w:tblCellMar>
            <w:top w:w="0" w:type="dxa"/>
            <w:left w:w="0" w:type="dxa"/>
            <w:bottom w:w="0" w:type="dxa"/>
            <w:right w:w="0" w:type="dxa"/>
          </w:tblCellMar>
        </w:tblPrEx>
        <w:trPr>
          <w:trHeight w:val="55" w:hRule="atLeast"/>
        </w:trPr>
        <w:tc>
          <w:tcPr>
            <w:tcW w:w="77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256A493F">
            <w:pPr>
              <w:widowControl/>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教师活动2：</w:t>
            </w:r>
          </w:p>
          <w:p w14:paraId="15B388E5">
            <w:pPr>
              <w:widowControl/>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r>
              <w:rPr>
                <w:rFonts w:ascii="宋体" w:hAnsi="宋体" w:eastAsia="宋体" w:cs="宋体"/>
                <w:color w:val="000000"/>
                <w:kern w:val="0"/>
                <w:sz w:val="21"/>
                <w:szCs w:val="21"/>
                <w:lang w:bidi="ar"/>
              </w:rPr>
              <w:t>.</w:t>
            </w:r>
            <w:r>
              <w:rPr>
                <w:rFonts w:hint="eastAsia" w:ascii="宋体" w:hAnsi="宋体" w:eastAsia="宋体" w:cs="宋体"/>
                <w:color w:val="000000"/>
                <w:kern w:val="0"/>
                <w:sz w:val="21"/>
                <w:szCs w:val="21"/>
                <w:lang w:bidi="ar"/>
              </w:rPr>
              <w:t>展示材料：爱国主义教育法的出台过程</w:t>
            </w:r>
          </w:p>
          <w:p w14:paraId="64595793">
            <w:pPr>
              <w:widowControl/>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 xml:space="preserve">    习近平总书记高度重视爱国主义教育工作，就弘扬爱国主义精神、开展爱国主义教育发表一系列重要论述、指示批示。与此同时，社会各界对将爱国主义教育纳入法治化轨道的呼声不断高涨，大家希望以此夯实14亿多中国人以爱国主义为核心的伟大民族精神根基。</w:t>
            </w:r>
          </w:p>
          <w:p w14:paraId="5B03DCC9">
            <w:pPr>
              <w:widowControl/>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 xml:space="preserve">    为了贯彻落实党中央决策部署，积极回应人民群众关切期盼。2022年7月，中央宣传部和全国人大常委会法工委共同牵头启动爱国主义教育法起草工作。之后，通过召开座谈会、调研等多种方式，广泛听取中央有关部门、群团组织、省（区、市）人大、基层立法联系点、全国人大代表和专家学者的意见建议，形成了《中华人民共和国爱国主义教育法（草案）》。2023年10月24日，十四届全国人大常委会第六次会议表决通过《中华人民共和国爱国主义教育法》，自2024年1月1日起施行。</w:t>
            </w:r>
          </w:p>
          <w:p w14:paraId="0CD0A566">
            <w:pPr>
              <w:widowControl/>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 xml:space="preserve">    该法规定，爱国主义教育健全统一领导、齐抓共管、各方参与、共同推进的工作格局，规定了各部门的工作职责。同时，该法还强调要动员全社会力量，广泛开展爱国主义宣传教育和各类活动。</w:t>
            </w:r>
          </w:p>
          <w:p w14:paraId="2270113A">
            <w:pPr>
              <w:widowControl/>
              <w:tabs>
                <w:tab w:val="left" w:pos="312"/>
              </w:tabs>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r>
              <w:rPr>
                <w:rFonts w:ascii="宋体" w:hAnsi="宋体" w:eastAsia="宋体" w:cs="宋体"/>
                <w:color w:val="000000"/>
                <w:kern w:val="0"/>
                <w:sz w:val="21"/>
                <w:szCs w:val="21"/>
                <w:lang w:bidi="ar"/>
              </w:rPr>
              <w:t>.</w:t>
            </w:r>
            <w:r>
              <w:rPr>
                <w:rFonts w:hint="eastAsia" w:ascii="宋体" w:hAnsi="宋体" w:eastAsia="宋体" w:cs="宋体"/>
                <w:color w:val="000000"/>
                <w:kern w:val="0"/>
                <w:sz w:val="21"/>
                <w:szCs w:val="21"/>
                <w:lang w:bidi="ar"/>
              </w:rPr>
              <w:t>展示议学问题：结合爱国主义教育法的出台过程，说明我国全面推进依法治国应坚持哪些原则？</w:t>
            </w:r>
          </w:p>
          <w:p w14:paraId="01136ADD">
            <w:pPr>
              <w:widowControl/>
              <w:ind w:firstLine="422" w:firstLineChars="200"/>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（提示：回答问题可得出我全面推进依法治国的原则的相关知识）</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51922E44">
            <w:pPr>
              <w:widowControl/>
              <w:jc w:val="left"/>
              <w:textAlignment w:val="center"/>
              <w:rPr>
                <w:rFonts w:hint="eastAsia"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学生活动2：</w:t>
            </w:r>
          </w:p>
          <w:p w14:paraId="043425F0">
            <w:pPr>
              <w:widowControl/>
              <w:ind w:firstLine="105" w:firstLineChars="50"/>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1.观看材料，提取关键信息，做好议学准备。</w:t>
            </w:r>
          </w:p>
          <w:p w14:paraId="7D99E0DE">
            <w:pPr>
              <w:pStyle w:val="2"/>
              <w:spacing w:line="240" w:lineRule="auto"/>
              <w:rPr>
                <w:rFonts w:hint="eastAsia" w:ascii="宋体" w:hAnsi="宋体" w:eastAsia="宋体" w:cs="宋体"/>
                <w:sz w:val="21"/>
                <w:szCs w:val="21"/>
              </w:rPr>
            </w:pPr>
          </w:p>
          <w:p w14:paraId="51CBD317">
            <w:pPr>
              <w:pStyle w:val="3"/>
              <w:rPr>
                <w:rFonts w:hint="eastAsia" w:hAnsi="宋体" w:eastAsia="宋体" w:cs="宋体"/>
                <w:sz w:val="21"/>
                <w:szCs w:val="21"/>
              </w:rPr>
            </w:pPr>
          </w:p>
          <w:p w14:paraId="272CD6C3">
            <w:pPr>
              <w:widowControl/>
              <w:ind w:firstLine="210" w:firstLineChars="100"/>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r>
              <w:rPr>
                <w:rFonts w:ascii="宋体" w:hAnsi="宋体" w:eastAsia="宋体" w:cs="宋体"/>
                <w:color w:val="000000"/>
                <w:kern w:val="0"/>
                <w:sz w:val="21"/>
                <w:szCs w:val="21"/>
                <w:lang w:bidi="ar"/>
              </w:rPr>
              <w:t>.</w:t>
            </w:r>
            <w:r>
              <w:rPr>
                <w:rFonts w:hint="eastAsia" w:ascii="宋体" w:hAnsi="宋体" w:eastAsia="宋体" w:cs="宋体"/>
                <w:color w:val="000000"/>
                <w:kern w:val="0"/>
                <w:sz w:val="21"/>
                <w:szCs w:val="21"/>
                <w:lang w:bidi="ar"/>
              </w:rPr>
              <w:t>认真研读议学问题，列出自己的观点，做好分享准备。</w:t>
            </w:r>
          </w:p>
          <w:p w14:paraId="088DBDEA">
            <w:pPr>
              <w:widowControl/>
              <w:jc w:val="left"/>
              <w:textAlignment w:val="center"/>
              <w:rPr>
                <w:rFonts w:ascii="宋体" w:hAnsi="宋体" w:eastAsia="宋体" w:cs="宋体"/>
                <w:color w:val="000000"/>
                <w:kern w:val="0"/>
                <w:sz w:val="21"/>
                <w:szCs w:val="21"/>
                <w:lang w:bidi="ar"/>
              </w:rPr>
            </w:pPr>
          </w:p>
          <w:p w14:paraId="6911FF1F">
            <w:pPr>
              <w:pStyle w:val="3"/>
              <w:rPr>
                <w:rFonts w:hint="eastAsia" w:hAnsi="宋体" w:eastAsia="宋体" w:cs="宋体"/>
                <w:sz w:val="21"/>
                <w:szCs w:val="21"/>
              </w:rPr>
            </w:pPr>
          </w:p>
          <w:p w14:paraId="0FCF9E6A">
            <w:pPr>
              <w:widowControl/>
              <w:ind w:firstLine="210" w:firstLineChars="100"/>
              <w:jc w:val="left"/>
              <w:textAlignment w:val="center"/>
              <w:rPr>
                <w:rFonts w:ascii="宋体" w:hAnsi="宋体" w:eastAsia="宋体" w:cs="宋体"/>
                <w:b/>
                <w:bCs/>
                <w:color w:val="000000"/>
                <w:kern w:val="0"/>
                <w:sz w:val="21"/>
                <w:szCs w:val="21"/>
                <w:lang w:bidi="ar"/>
              </w:rPr>
            </w:pPr>
            <w:r>
              <w:rPr>
                <w:rFonts w:hint="eastAsia" w:ascii="宋体" w:hAnsi="宋体" w:eastAsia="宋体" w:cs="宋体"/>
                <w:color w:val="000000"/>
                <w:kern w:val="0"/>
                <w:sz w:val="21"/>
                <w:szCs w:val="21"/>
                <w:lang w:bidi="ar"/>
              </w:rPr>
              <w:t>3.根据议学提示，在课本对应位置将基本观点备注清楚。</w:t>
            </w:r>
          </w:p>
        </w:tc>
      </w:tr>
      <w:tr w14:paraId="1BA07B06">
        <w:tblPrEx>
          <w:tblCellMar>
            <w:top w:w="0" w:type="dxa"/>
            <w:left w:w="0" w:type="dxa"/>
            <w:bottom w:w="0" w:type="dxa"/>
            <w:right w:w="0" w:type="dxa"/>
          </w:tblCellMar>
        </w:tblPrEx>
        <w:trPr>
          <w:trHeight w:val="55"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10FCE091">
            <w:pP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设计意图：</w:t>
            </w:r>
          </w:p>
          <w:p w14:paraId="7975F8F0">
            <w:pPr>
              <w:widowControl/>
              <w:ind w:firstLine="210" w:firstLineChars="100"/>
              <w:jc w:val="left"/>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该部分通过展示爱国主义教育法出台过程的素材。让学生了解时事，结合课本知识，再分析材料内容得出答案，发挥学生的主动性，让学生在探究议题中充分发挥能动性，有利于教学目标的实现。</w:t>
            </w:r>
          </w:p>
        </w:tc>
      </w:tr>
      <w:tr w14:paraId="4F8780CB">
        <w:tblPrEx>
          <w:tblCellMar>
            <w:top w:w="0" w:type="dxa"/>
            <w:left w:w="0" w:type="dxa"/>
            <w:bottom w:w="0" w:type="dxa"/>
            <w:right w:w="0" w:type="dxa"/>
          </w:tblCellMar>
        </w:tblPrEx>
        <w:trPr>
          <w:trHeight w:val="540"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1CF4B6A6">
            <w:pPr>
              <w:pStyle w:val="3"/>
              <w:rPr>
                <w:rFonts w:hAnsi="宋体" w:eastAsia="宋体" w:cs="宋体"/>
                <w:color w:val="000000"/>
                <w:kern w:val="0"/>
                <w:sz w:val="21"/>
                <w:szCs w:val="21"/>
                <w:lang w:bidi="ar"/>
              </w:rPr>
            </w:pPr>
            <w:r>
              <w:rPr>
                <w:rFonts w:hint="eastAsia" w:hAnsi="宋体" w:eastAsia="宋体" w:cs="宋体"/>
                <w:b/>
                <w:bCs/>
                <w:color w:val="000000"/>
                <w:kern w:val="0"/>
                <w:sz w:val="21"/>
                <w:szCs w:val="21"/>
                <w:lang w:bidi="ar"/>
              </w:rPr>
              <w:t>议学环节三：加强爱国主义主题教育，争做爱国青年</w:t>
            </w:r>
          </w:p>
        </w:tc>
      </w:tr>
      <w:tr w14:paraId="1E319E68">
        <w:tblPrEx>
          <w:tblCellMar>
            <w:top w:w="0" w:type="dxa"/>
            <w:left w:w="0" w:type="dxa"/>
            <w:bottom w:w="0" w:type="dxa"/>
            <w:right w:w="0" w:type="dxa"/>
          </w:tblCellMar>
        </w:tblPrEx>
        <w:trPr>
          <w:trHeight w:val="540" w:hRule="atLeast"/>
        </w:trPr>
        <w:tc>
          <w:tcPr>
            <w:tcW w:w="77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67316ED3">
            <w:pPr>
              <w:pStyle w:val="3"/>
              <w:ind w:firstLine="422" w:firstLineChars="200"/>
              <w:rPr>
                <w:rFonts w:hAnsi="宋体" w:eastAsia="宋体" w:cs="宋体"/>
                <w:b/>
                <w:bCs/>
                <w:color w:val="000000"/>
                <w:kern w:val="0"/>
                <w:sz w:val="21"/>
                <w:szCs w:val="21"/>
                <w:lang w:bidi="ar"/>
              </w:rPr>
            </w:pPr>
            <w:r>
              <w:rPr>
                <w:rFonts w:hint="eastAsia" w:hAnsi="宋体" w:eastAsia="宋体" w:cs="宋体"/>
                <w:b/>
                <w:bCs/>
                <w:color w:val="000000"/>
                <w:kern w:val="0"/>
                <w:sz w:val="21"/>
                <w:szCs w:val="21"/>
                <w:lang w:bidi="ar"/>
              </w:rPr>
              <w:t>教师活动3：</w:t>
            </w:r>
          </w:p>
          <w:p w14:paraId="5F8F93EA">
            <w:pPr>
              <w:pStyle w:val="3"/>
              <w:ind w:firstLine="420" w:firstLineChars="200"/>
              <w:rPr>
                <w:rFonts w:hAnsi="宋体" w:eastAsia="宋体" w:cs="宋体"/>
                <w:color w:val="000000"/>
                <w:kern w:val="0"/>
                <w:sz w:val="21"/>
                <w:szCs w:val="21"/>
                <w:lang w:bidi="ar"/>
              </w:rPr>
            </w:pPr>
            <w:r>
              <w:rPr>
                <w:rFonts w:hint="eastAsia" w:hAnsi="宋体" w:eastAsia="宋体" w:cs="宋体"/>
                <w:color w:val="000000"/>
                <w:kern w:val="0"/>
                <w:sz w:val="21"/>
                <w:szCs w:val="21"/>
                <w:lang w:bidi="ar"/>
              </w:rPr>
              <w:t>展示材料：</w:t>
            </w:r>
          </w:p>
          <w:p w14:paraId="2E6DA2BB">
            <w:pPr>
              <w:pStyle w:val="3"/>
              <w:ind w:firstLine="420" w:firstLineChars="200"/>
              <w:rPr>
                <w:rFonts w:hint="default" w:hAnsi="宋体" w:eastAsia="宋体" w:cs="宋体"/>
                <w:b/>
                <w:bCs/>
                <w:color w:val="000000"/>
                <w:kern w:val="0"/>
                <w:sz w:val="21"/>
                <w:szCs w:val="21"/>
                <w:lang w:val="en-US" w:bidi="ar"/>
              </w:rPr>
            </w:pPr>
            <w:r>
              <w:rPr>
                <w:rFonts w:hint="eastAsia" w:hAnsi="宋体" w:eastAsia="宋体" w:cs="宋体"/>
                <w:color w:val="000000"/>
                <w:kern w:val="0"/>
                <w:sz w:val="21"/>
                <w:szCs w:val="21"/>
                <w:lang w:bidi="ar"/>
              </w:rPr>
              <w:t>为了积极响应爱国主义教育法实行，进一步加强新时代爱国主义教育，激发青少年的爱国主义热情和情感，</w:t>
            </w:r>
            <w:r>
              <w:rPr>
                <w:rFonts w:hint="eastAsia" w:hAnsi="宋体" w:eastAsia="宋体" w:cs="宋体"/>
                <w:color w:val="000000"/>
                <w:kern w:val="0"/>
                <w:sz w:val="21"/>
                <w:szCs w:val="21"/>
                <w:lang w:val="en-US" w:eastAsia="zh-CN" w:bidi="ar"/>
              </w:rPr>
              <w:t>作为新时代的青少年，你打算怎么做？</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7357CFF3">
            <w:pPr>
              <w:pStyle w:val="3"/>
              <w:rPr>
                <w:rFonts w:hAnsi="宋体" w:eastAsia="宋体" w:cs="宋体"/>
                <w:b/>
                <w:bCs/>
                <w:color w:val="000000"/>
                <w:kern w:val="0"/>
                <w:sz w:val="21"/>
                <w:szCs w:val="21"/>
                <w:lang w:bidi="ar"/>
              </w:rPr>
            </w:pPr>
          </w:p>
          <w:p w14:paraId="2B835E6F">
            <w:pPr>
              <w:pStyle w:val="3"/>
              <w:rPr>
                <w:rFonts w:hAnsi="宋体" w:eastAsia="宋体" w:cs="宋体"/>
                <w:b/>
                <w:bCs/>
                <w:color w:val="000000"/>
                <w:kern w:val="0"/>
                <w:sz w:val="21"/>
                <w:szCs w:val="21"/>
                <w:lang w:bidi="ar"/>
              </w:rPr>
            </w:pPr>
            <w:r>
              <w:rPr>
                <w:rFonts w:hint="eastAsia" w:hAnsi="宋体" w:eastAsia="宋体" w:cs="宋体"/>
                <w:color w:val="000000" w:themeColor="text1"/>
                <w:kern w:val="0"/>
                <w:sz w:val="21"/>
                <w:szCs w:val="21"/>
                <w:lang w:bidi="ar"/>
                <w14:textFill>
                  <w14:solidFill>
                    <w14:schemeClr w14:val="tx1"/>
                  </w14:solidFill>
                </w14:textFill>
              </w:rPr>
              <w:t>学生自主思考，写出具体做法</w:t>
            </w:r>
          </w:p>
        </w:tc>
      </w:tr>
      <w:tr w14:paraId="2C3C8961">
        <w:tblPrEx>
          <w:tblCellMar>
            <w:top w:w="0" w:type="dxa"/>
            <w:left w:w="0" w:type="dxa"/>
            <w:bottom w:w="0" w:type="dxa"/>
            <w:right w:w="0" w:type="dxa"/>
          </w:tblCellMar>
        </w:tblPrEx>
        <w:trPr>
          <w:trHeight w:val="540"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4C121BC6">
            <w:pP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设计意图：</w:t>
            </w:r>
          </w:p>
          <w:p w14:paraId="44E017A8">
            <w:pPr>
              <w:pStyle w:val="3"/>
              <w:ind w:firstLine="210" w:firstLineChars="100"/>
              <w:rPr>
                <w:rFonts w:hAnsi="宋体" w:eastAsia="宋体" w:cs="宋体"/>
                <w:color w:val="000000" w:themeColor="text1"/>
                <w:kern w:val="0"/>
                <w:sz w:val="21"/>
                <w:szCs w:val="21"/>
                <w:lang w:bidi="ar"/>
                <w14:textFill>
                  <w14:solidFill>
                    <w14:schemeClr w14:val="tx1"/>
                  </w14:solidFill>
                </w14:textFill>
              </w:rPr>
            </w:pPr>
            <w:r>
              <w:rPr>
                <w:rFonts w:hint="eastAsia" w:cs="黑体" w:asciiTheme="minorEastAsia" w:hAnsiTheme="minorEastAsia"/>
                <w:sz w:val="21"/>
                <w:szCs w:val="21"/>
              </w:rPr>
              <w:t>增强学生的爱国主义情感。</w:t>
            </w:r>
          </w:p>
        </w:tc>
      </w:tr>
      <w:tr w14:paraId="472D1A81">
        <w:tblPrEx>
          <w:tblCellMar>
            <w:top w:w="0" w:type="dxa"/>
            <w:left w:w="0" w:type="dxa"/>
            <w:bottom w:w="0" w:type="dxa"/>
            <w:right w:w="0" w:type="dxa"/>
          </w:tblCellMar>
        </w:tblPrEx>
        <w:trPr>
          <w:trHeight w:val="540" w:hRule="atLeast"/>
        </w:trPr>
        <w:tc>
          <w:tcPr>
            <w:tcW w:w="96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037F1433">
            <w:pPr>
              <w:widowControl/>
              <w:numPr>
                <w:ilvl w:val="0"/>
                <w:numId w:val="4"/>
              </w:numPr>
              <w:jc w:val="left"/>
              <w:textAlignment w:val="center"/>
              <w:rPr>
                <w:rFonts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知识总结：</w:t>
            </w:r>
          </w:p>
          <w:p w14:paraId="13213E63">
            <w:pPr>
              <w:widowControl/>
              <w:jc w:val="center"/>
              <w:textAlignment w:val="center"/>
              <w:rPr>
                <w:rFonts w:ascii="宋体" w:hAnsi="宋体" w:eastAsia="宋体" w:cs="宋体"/>
                <w:b/>
                <w:bCs/>
                <w:color w:val="000000"/>
                <w:kern w:val="0"/>
                <w:sz w:val="21"/>
                <w:szCs w:val="21"/>
                <w:lang w:bidi="ar"/>
              </w:rPr>
            </w:pPr>
            <w:r>
              <w:rPr>
                <w:rFonts w:ascii="宋体" w:hAnsi="宋体" w:eastAsia="宋体" w:cs="宋体"/>
                <w:b/>
                <w:bCs/>
                <w:color w:val="000000"/>
                <w:kern w:val="0"/>
                <w:sz w:val="21"/>
                <w:szCs w:val="21"/>
              </w:rPr>
              <w:drawing>
                <wp:inline distT="0" distB="0" distL="0" distR="0">
                  <wp:extent cx="5766435" cy="2179320"/>
                  <wp:effectExtent l="0" t="0" r="12065" b="0"/>
                  <wp:docPr id="7668166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816633" name="图片 1"/>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801214" cy="2192322"/>
                          </a:xfrm>
                          <a:prstGeom prst="rect">
                            <a:avLst/>
                          </a:prstGeom>
                          <a:noFill/>
                        </pic:spPr>
                      </pic:pic>
                    </a:graphicData>
                  </a:graphic>
                </wp:inline>
              </w:drawing>
            </w:r>
          </w:p>
        </w:tc>
      </w:tr>
    </w:tbl>
    <w:p w14:paraId="180A07A9">
      <w:pPr>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8EB9C"/>
    <w:multiLevelType w:val="singleLevel"/>
    <w:tmpl w:val="D378EB9C"/>
    <w:lvl w:ilvl="0" w:tentative="0">
      <w:start w:val="1"/>
      <w:numFmt w:val="decimal"/>
      <w:pStyle w:val="6"/>
      <w:lvlText w:val="%1."/>
      <w:lvlJc w:val="left"/>
      <w:pPr>
        <w:tabs>
          <w:tab w:val="left" w:pos="312"/>
        </w:tabs>
      </w:pPr>
    </w:lvl>
  </w:abstractNum>
  <w:abstractNum w:abstractNumId="1">
    <w:nsid w:val="DC1691FA"/>
    <w:multiLevelType w:val="singleLevel"/>
    <w:tmpl w:val="DC1691FA"/>
    <w:lvl w:ilvl="0" w:tentative="0">
      <w:start w:val="7"/>
      <w:numFmt w:val="chineseCounting"/>
      <w:suff w:val="nothing"/>
      <w:lvlText w:val="%1、"/>
      <w:lvlJc w:val="left"/>
      <w:rPr>
        <w:rFonts w:hint="eastAsia"/>
      </w:rPr>
    </w:lvl>
  </w:abstractNum>
  <w:abstractNum w:abstractNumId="2">
    <w:nsid w:val="03E173CA"/>
    <w:multiLevelType w:val="singleLevel"/>
    <w:tmpl w:val="03E173CA"/>
    <w:lvl w:ilvl="0" w:tentative="0">
      <w:start w:val="1"/>
      <w:numFmt w:val="decimal"/>
      <w:lvlText w:val="%1."/>
      <w:lvlJc w:val="left"/>
      <w:pPr>
        <w:tabs>
          <w:tab w:val="left" w:pos="312"/>
        </w:tabs>
      </w:pPr>
    </w:lvl>
  </w:abstractNum>
  <w:abstractNum w:abstractNumId="3">
    <w:nsid w:val="418965BB"/>
    <w:multiLevelType w:val="multilevel"/>
    <w:tmpl w:val="418965BB"/>
    <w:lvl w:ilvl="0" w:tentative="0">
      <w:start w:val="4"/>
      <w:numFmt w:val="japaneseCounting"/>
      <w:lvlText w:val="%1、"/>
      <w:lvlJc w:val="left"/>
      <w:pPr>
        <w:ind w:left="500" w:hanging="50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58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line="600" w:lineRule="exact"/>
    </w:pPr>
    <w:rPr>
      <w:rFonts w:eastAsia="等线" w:cs="Arial"/>
      <w:sz w:val="18"/>
    </w:rPr>
  </w:style>
  <w:style w:type="paragraph" w:styleId="3">
    <w:name w:val="Plain Text"/>
    <w:basedOn w:val="1"/>
    <w:next w:val="1"/>
    <w:qFormat/>
    <w:uiPriority w:val="0"/>
    <w:rPr>
      <w:rFonts w:ascii="宋体" w:hAnsi="Courier New" w:cs="Courier New"/>
      <w:szCs w:val="21"/>
    </w:rPr>
  </w:style>
  <w:style w:type="paragraph" w:styleId="6">
    <w:name w:val="List Paragraph"/>
    <w:basedOn w:val="1"/>
    <w:autoRedefine/>
    <w:qFormat/>
    <w:uiPriority w:val="34"/>
    <w:pPr>
      <w:widowControl/>
      <w:numPr>
        <w:ilvl w:val="0"/>
        <w:numId w:val="1"/>
      </w:numPr>
      <w:spacing w:line="360" w:lineRule="auto"/>
      <w:ind w:firstLine="420"/>
      <w:jc w:val="left"/>
      <w:textAlignment w:val="center"/>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2024-12-31T15:24:58Z</dcterms:created>
  <dc:creator>86135</dc:creator>
  <cp:lastModifiedBy>伊语暄</cp:lastModifiedBy>
  <dcterms:modified xsi:type="dcterms:W3CDTF">2024-12-31T15:28:08Z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eyJoZGlkIjoiMzJkMjk5YTk0NTc0YWIzYTkxNzM3ODk5ZmRiOWI1MjEiLCJ1c2VySWQiOiI2NjIxMzk1MjIifQ==</vt:lpwstr>
  </property>
  <property fmtid="{D5CDD505-2E9C-101B-9397-08002B2CF9AE}" pid="4" name="ICV">
    <vt:lpwstr>5E61BD4C7C2B404D9BA84A9C44A04F5D_12</vt:lpwstr>
  </property>
</Properties>
</file>