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46055" w14:textId="77777777" w:rsidR="00844EEB" w:rsidRPr="001175B4" w:rsidRDefault="00000000" w:rsidP="001175B4">
      <w:pPr>
        <w:pStyle w:val="2"/>
        <w:widowControl/>
        <w:shd w:val="clear" w:color="auto" w:fill="FFFFFF"/>
        <w:spacing w:beforeAutospacing="0" w:after="210" w:afterAutospacing="0"/>
        <w:jc w:val="center"/>
        <w:rPr>
          <w:rFonts w:ascii="微软雅黑" w:eastAsia="微软雅黑" w:hAnsi="微软雅黑" w:cs="微软雅黑"/>
          <w:color w:val="333333"/>
          <w:spacing w:val="8"/>
          <w:sz w:val="28"/>
          <w:szCs w:val="28"/>
        </w:rPr>
      </w:pPr>
      <w:r w:rsidRPr="001175B4">
        <w:rPr>
          <w:rFonts w:ascii="微软雅黑" w:eastAsia="微软雅黑" w:hAnsi="微软雅黑" w:cs="微软雅黑"/>
          <w:color w:val="333333"/>
          <w:spacing w:val="8"/>
          <w:sz w:val="28"/>
          <w:szCs w:val="28"/>
          <w:shd w:val="clear" w:color="auto" w:fill="FFFFFF"/>
        </w:rPr>
        <w:t>高中生生物学科学探究能力的现场观察测评</w:t>
      </w:r>
    </w:p>
    <w:p w14:paraId="3860560D" w14:textId="77777777" w:rsidR="00844EEB" w:rsidRPr="001175B4" w:rsidRDefault="00000000" w:rsidP="001175B4">
      <w:pPr>
        <w:pStyle w:val="a3"/>
        <w:widowControl/>
        <w:shd w:val="clear" w:color="auto" w:fill="FFFFFF"/>
        <w:spacing w:beforeAutospacing="0" w:afterAutospacing="0"/>
        <w:ind w:firstLineChars="200" w:firstLine="452"/>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普通高中生物学课程标准（2017年版）》提出的生物学学科核心素养包括生命观念、科学思维、科学探究和社会责任，强调评价要促进学生的学习与发展，重视评价的诊断作用、激励作用和促进作用；致力于创建一个主体多元、方法多样、既关注学业成就又重视个体进步和多方面发展的生物学课程评价体系。国际著名评价专家Wiggins指出，评价方式与教学方式越一致，评价的有效性越高[2）。针对高中生生物学的科学探究能力，现场观察测评方式具有直观、全面、一致和获取的信息量大等优点。为了保证测评的信度和效度，探究主题要具有可操作性，观察指标要具体化，观察要与访谈相结合，避免打乱学生的探究思路，保证观察的公平性和过程性。</w:t>
      </w:r>
    </w:p>
    <w:p w14:paraId="62D1FAE6"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Style w:val="a4"/>
          <w:rFonts w:ascii="宋体" w:eastAsia="宋体" w:hAnsi="宋体" w:cs="宋体" w:hint="eastAsia"/>
          <w:color w:val="333333"/>
          <w:spacing w:val="8"/>
          <w:sz w:val="21"/>
          <w:szCs w:val="21"/>
          <w:shd w:val="clear" w:color="auto" w:fill="FFFFFF"/>
        </w:rPr>
        <w:t>1 探究主题要具有可操作性及难度梯度要合理</w:t>
      </w:r>
    </w:p>
    <w:p w14:paraId="2C934304"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科学探究能力是指能从日常生活、自然现象或实验现象的观察中发现与科学有关的问题，并且能通过提出问题、调查研究、动手实验、表达与交流等探究性活动，获取知识、技能和方法。因此，在确定探究主题时要根据高中生的认知水平，选择学生感兴趣的素材，精心创设问题情境，以激发学生的科学思维，使其在特定情境中通过分析、理解、归纳等达成目标。在此过程中，要注意探究主题的可操作性，如实验原理相对简单、实验取材方便、实验器材具备、现象明显易量化等；探究的问题可以从原理、用具、步骤、测量、计算和结果讨论等编制问题。探究问题应具有合理的难度梯度，难度过大、过小都不利于激发学生的探究积极性。例如，要考查学生对“还原性糖鉴定实验的选材”的掌握情况，就可以由易到难依次设置以下问题：（1）应该选择哪种水果做实验？（2）为何选择这种材料？（3）还有更好的材料可替代吗？（4）选材应遵循什么原则？（5）若没有遵循选材原则，会对实验结果产生什么影响？</w:t>
      </w:r>
    </w:p>
    <w:p w14:paraId="287EB4CA"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Style w:val="a4"/>
          <w:rFonts w:ascii="宋体" w:eastAsia="宋体" w:hAnsi="宋体" w:cs="宋体" w:hint="eastAsia"/>
          <w:color w:val="333333"/>
          <w:spacing w:val="8"/>
          <w:sz w:val="21"/>
          <w:szCs w:val="21"/>
          <w:shd w:val="clear" w:color="auto" w:fill="FFFFFF"/>
        </w:rPr>
        <w:t>2 观察指标要具体化，便于统计测评</w:t>
      </w:r>
    </w:p>
    <w:p w14:paraId="1FEA7609"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为了使观察内容具体、明确，可借鉴英国经典的APU现场观察的分项观察法，结合生物学科学探究能力的组成，构建观察细目和评分细则。不同学者对科学探究能力的认识不同：张海和与刘恩山认为，科学探究能力应该是其中特别能反映科学探究活动特点的实验操作技能和过程技能，尤其是过程技能，。罗国忠认为，科学探究能力指运用科学方法去发现尚未认识的科学事物和规律的能力，大体包括提出问题、猜想假设、制订计划、收集数据和概括结论等一系列探究要素。因此，综合不同学者对此概念的理解，可以将科学探究能力归纳为3大方面（表1）：基本操作能力、综合分析能力和评价创新能力；每个方面又可以分为多个维度，每个维度又涉及若干具体的观测点，通过层层细化，可将抽象的科学探究能力具体化，便于测评统计。评分又可分为4个等级，即优秀、良好、及格、不及格，分别对应分数为4，3，2，1分。</w:t>
      </w:r>
    </w:p>
    <w:p w14:paraId="00BF0A25" w14:textId="77777777" w:rsidR="00844EEB" w:rsidRPr="001175B4" w:rsidRDefault="00000000" w:rsidP="001175B4">
      <w:pPr>
        <w:pStyle w:val="a3"/>
        <w:widowControl/>
        <w:shd w:val="clear" w:color="auto" w:fill="FFFFFF"/>
        <w:spacing w:beforeAutospacing="0" w:afterAutospacing="0"/>
        <w:jc w:val="center"/>
        <w:rPr>
          <w:rFonts w:ascii="微软雅黑" w:eastAsia="微软雅黑" w:hAnsi="微软雅黑" w:cs="微软雅黑" w:hint="eastAsia"/>
          <w:color w:val="333333"/>
          <w:spacing w:val="8"/>
          <w:sz w:val="21"/>
          <w:szCs w:val="21"/>
        </w:rPr>
      </w:pPr>
      <w:r w:rsidRPr="001175B4">
        <w:rPr>
          <w:rFonts w:ascii="微软雅黑" w:eastAsia="微软雅黑" w:hAnsi="微软雅黑" w:cs="微软雅黑" w:hint="eastAsia"/>
          <w:noProof/>
          <w:color w:val="333333"/>
          <w:spacing w:val="8"/>
          <w:sz w:val="21"/>
          <w:szCs w:val="21"/>
          <w:shd w:val="clear" w:color="auto" w:fill="FFFFFF"/>
        </w:rPr>
        <w:lastRenderedPageBreak/>
        <w:drawing>
          <wp:inline distT="0" distB="0" distL="114300" distR="114300" wp14:anchorId="7EA64C07" wp14:editId="4CBF96E9">
            <wp:extent cx="4562475" cy="641985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58869" name="图片 1" descr="IMG_256"/>
                    <pic:cNvPicPr>
                      <a:picLocks noChangeAspect="1"/>
                    </pic:cNvPicPr>
                  </pic:nvPicPr>
                  <pic:blipFill>
                    <a:blip r:embed="rId7"/>
                    <a:stretch>
                      <a:fillRect/>
                    </a:stretch>
                  </pic:blipFill>
                  <pic:spPr>
                    <a:xfrm>
                      <a:off x="0" y="0"/>
                      <a:ext cx="4562475" cy="6419850"/>
                    </a:xfrm>
                    <a:prstGeom prst="rect">
                      <a:avLst/>
                    </a:prstGeom>
                    <a:noFill/>
                    <a:ln w="9525">
                      <a:noFill/>
                    </a:ln>
                  </pic:spPr>
                </pic:pic>
              </a:graphicData>
            </a:graphic>
          </wp:inline>
        </w:drawing>
      </w:r>
    </w:p>
    <w:p w14:paraId="3BF4DCDF"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Style w:val="a4"/>
          <w:rFonts w:ascii="宋体" w:eastAsia="宋体" w:hAnsi="宋体" w:cs="宋体" w:hint="eastAsia"/>
          <w:color w:val="333333"/>
          <w:spacing w:val="8"/>
          <w:sz w:val="21"/>
          <w:szCs w:val="21"/>
          <w:shd w:val="clear" w:color="auto" w:fill="FFFFFF"/>
        </w:rPr>
        <w:t>3 现场观察需要与访谈相结合</w:t>
      </w:r>
    </w:p>
    <w:p w14:paraId="3BCA3007"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在学生独立开展科学探究的过程中，教师可以依据观测点进行量化打分。心理学认为行为总是在一定的刺激下产生的，而且引起行为的刺激常常通过心理的中介起作用。因此，为了更客观、全面地反映高中生的科学探究能力，仅仅观察学生的操作还不够，必须要结合访谈，才能更全面地了解学生的认知水平和思维过程，知道学生手中所做与心中所想的一致性程度。访谈角度可以是多方面的，如询问学生对实验原理的理解程度、实验步骤设计思路、对出现的实验现象甚至意外情况的看法、是否有更好的材料可选择、探究注意事项、能否与实践相联系以及自认为不足的地方是什么等。例如，现场观察学生探究“影响酶活性的条件”时，访谈的问题有：（1）你选择了控制哪些条件来影响酶活性？（2）经过探究，你认为不同条件是如何来影响酶活性的？（3）你是怎样控制自变量的？（4）能用过氧化氢酶来探究温度对酶活性的影响</w:t>
      </w:r>
      <w:r w:rsidRPr="001175B4">
        <w:rPr>
          <w:rFonts w:ascii="宋体" w:eastAsia="宋体" w:hAnsi="宋体" w:cs="宋体" w:hint="eastAsia"/>
          <w:color w:val="333333"/>
          <w:spacing w:val="8"/>
          <w:sz w:val="21"/>
          <w:szCs w:val="21"/>
          <w:shd w:val="clear" w:color="auto" w:fill="FFFFFF"/>
        </w:rPr>
        <w:lastRenderedPageBreak/>
        <w:t>吗？（5）加酶洗衣粉为何需要适宜的水温？（6）你是如何观察酶活性的改变的？（7）当你发高烧的时候，为何食欲变差？</w:t>
      </w:r>
    </w:p>
    <w:p w14:paraId="56A159C1"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Style w:val="a4"/>
          <w:rFonts w:ascii="宋体" w:eastAsia="宋体" w:hAnsi="宋体" w:cs="宋体" w:hint="eastAsia"/>
          <w:color w:val="333333"/>
          <w:spacing w:val="8"/>
          <w:sz w:val="21"/>
          <w:szCs w:val="21"/>
          <w:shd w:val="clear" w:color="auto" w:fill="FFFFFF"/>
        </w:rPr>
        <w:t>4 观察过程中不反馈，避免打乱学生探究的思路</w:t>
      </w:r>
    </w:p>
    <w:p w14:paraId="06FD1975"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现场观察测评与平时的上课有区别，平时的师生探讨对打开学生的思维有很大帮助，但现场观察的目的是在不受他人思维的干扰下测出学生真实的科学探究能力，因此，现场观察重在“观察"，只看不语。学生在给定情境下经过周密思考后，独立完成探究任务，每名学生操作的过程可由两名教师观察，每个教师各自观察并评分记录；同时在探究中，一名教师可提出一两个问题，并对其表现及时评分，但不能做任何口头评价。目的是发现学生思维与操作、创新能力水平的差异。因此，在观测过程中不能以口头或眼神表情等方式来表示肯定或否定；通过提问可以从侧面了解学生探究步骤的动机和出发点，但提问也不能过多，否则容易干扰学生的原有探究思路，会让学生沿着教师的提问进行探究，偏离了自身的科学思维过程，进而影响最终测评的效度。</w:t>
      </w:r>
    </w:p>
    <w:p w14:paraId="36C656E6"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Style w:val="a4"/>
          <w:rFonts w:ascii="宋体" w:eastAsia="宋体" w:hAnsi="宋体" w:cs="宋体" w:hint="eastAsia"/>
          <w:color w:val="333333"/>
          <w:spacing w:val="8"/>
          <w:sz w:val="21"/>
          <w:szCs w:val="21"/>
          <w:shd w:val="clear" w:color="auto" w:fill="FFFFFF"/>
        </w:rPr>
        <w:t>5 保证观察的公平性和过程性</w:t>
      </w:r>
    </w:p>
    <w:p w14:paraId="720094A3"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现场观察相比其他测评方法的最大优点是可了解学生外显行为和思维的一致性。教师通过观察学生的操作不仅知道其心中所想，还能发现学生的动手实验技能以及表达沟通能力，所以要让学生做完整</w:t>
      </w:r>
      <w:proofErr w:type="gramStart"/>
      <w:r w:rsidRPr="001175B4">
        <w:rPr>
          <w:rFonts w:ascii="宋体" w:eastAsia="宋体" w:hAnsi="宋体" w:cs="宋体" w:hint="eastAsia"/>
          <w:color w:val="333333"/>
          <w:spacing w:val="8"/>
          <w:sz w:val="21"/>
          <w:szCs w:val="21"/>
          <w:shd w:val="clear" w:color="auto" w:fill="FFFFFF"/>
        </w:rPr>
        <w:t>个</w:t>
      </w:r>
      <w:proofErr w:type="gramEnd"/>
      <w:r w:rsidRPr="001175B4">
        <w:rPr>
          <w:rFonts w:ascii="宋体" w:eastAsia="宋体" w:hAnsi="宋体" w:cs="宋体" w:hint="eastAsia"/>
          <w:color w:val="333333"/>
          <w:spacing w:val="8"/>
          <w:sz w:val="21"/>
          <w:szCs w:val="21"/>
          <w:shd w:val="clear" w:color="auto" w:fill="FFFFFF"/>
        </w:rPr>
        <w:t>科学探究流程。为了保证测评结果的有效性，整个观测过程必须做到公平，包括科学探究主题内容相当，观测项目尺度一致，观测者尽可能不变，对每个学生提问次数相同等。同时新课程理念要求测评必须是过程性的，因此，评价要关注科学探究过程中学生智能发展的过程性结果，如学生如何解决探究中遇到的问题，及时对学生的实验探究水平</w:t>
      </w:r>
      <w:proofErr w:type="gramStart"/>
      <w:r w:rsidRPr="001175B4">
        <w:rPr>
          <w:rFonts w:ascii="宋体" w:eastAsia="宋体" w:hAnsi="宋体" w:cs="宋体" w:hint="eastAsia"/>
          <w:color w:val="333333"/>
          <w:spacing w:val="8"/>
          <w:sz w:val="21"/>
          <w:szCs w:val="21"/>
          <w:shd w:val="clear" w:color="auto" w:fill="FFFFFF"/>
        </w:rPr>
        <w:t>作出</w:t>
      </w:r>
      <w:proofErr w:type="gramEnd"/>
      <w:r w:rsidRPr="001175B4">
        <w:rPr>
          <w:rFonts w:ascii="宋体" w:eastAsia="宋体" w:hAnsi="宋体" w:cs="宋体" w:hint="eastAsia"/>
          <w:color w:val="333333"/>
          <w:spacing w:val="8"/>
          <w:sz w:val="21"/>
          <w:szCs w:val="21"/>
          <w:shd w:val="clear" w:color="auto" w:fill="FFFFFF"/>
        </w:rPr>
        <w:t>判断，将学生的操作动机与探究结果有机结合起来进行评价。</w:t>
      </w:r>
    </w:p>
    <w:p w14:paraId="1B531E50"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Style w:val="a4"/>
          <w:rFonts w:ascii="宋体" w:eastAsia="宋体" w:hAnsi="宋体" w:cs="宋体" w:hint="eastAsia"/>
          <w:color w:val="333333"/>
          <w:spacing w:val="8"/>
          <w:sz w:val="21"/>
          <w:szCs w:val="21"/>
          <w:shd w:val="clear" w:color="auto" w:fill="FFFFFF"/>
        </w:rPr>
        <w:t>6 现场观察的案例分析</w:t>
      </w:r>
    </w:p>
    <w:p w14:paraId="5EBEA885"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“酶的特性”与生活息息相关，同时此部分内容又是必修1</w:t>
      </w:r>
      <w:r w:rsidRPr="001175B4">
        <w:rPr>
          <w:rFonts w:ascii="宋体" w:eastAsia="宋体" w:hAnsi="宋体" w:cs="宋体" w:hint="eastAsia"/>
          <w:noProof/>
          <w:color w:val="333333"/>
          <w:spacing w:val="8"/>
          <w:sz w:val="21"/>
          <w:szCs w:val="21"/>
          <w:shd w:val="clear" w:color="auto" w:fill="FFFFFF"/>
        </w:rPr>
        <w:drawing>
          <wp:inline distT="0" distB="0" distL="0" distR="0" wp14:anchorId="6D0D57E9" wp14:editId="33F27BBC">
            <wp:extent cx="254000" cy="2540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649887" name=""/>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sidRPr="001175B4">
        <w:rPr>
          <w:rFonts w:ascii="宋体" w:eastAsia="宋体" w:hAnsi="宋体" w:cs="宋体" w:hint="eastAsia"/>
          <w:color w:val="333333"/>
          <w:spacing w:val="8"/>
          <w:sz w:val="21"/>
          <w:szCs w:val="21"/>
          <w:shd w:val="clear" w:color="auto" w:fill="FFFFFF"/>
        </w:rPr>
        <w:t>模块的重要内容，是一个很好的探究主题。下面以“影响酶活性的条件”为主题，采用抽样调查对南郑中学高一学生的科学探究能力进行现场观察测评。</w:t>
      </w:r>
    </w:p>
    <w:p w14:paraId="5353DEC4"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以“影响酶活性的条件”为主题，笔者设置了以下情境：生活中加酶洗衣粉的包装上，往往注明这种洗衣粉的适用温度范围；唾液淀粉酶、胃蛋白酶等消化酶都是在消化道中起作用的，不同部位消化液的pH不一样（睡液的pH为6.2~7.4，胃液的pH为0.9-1.5，小肠液的pH为7.6）。请根据所学知识探究环境条件的改变是否影响细胞内酶的活性？如果有影响，是如何影响的？</w:t>
      </w:r>
    </w:p>
    <w:p w14:paraId="5395E6FC"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6.1 构建以“影响酶活性的条件”的现场观察项目及评分</w:t>
      </w:r>
    </w:p>
    <w:p w14:paraId="38CB2CF6"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依据现场观察的指标体系，结合探究的具体内容制订相关的观察项目及评分表（见附录）。</w:t>
      </w:r>
    </w:p>
    <w:p w14:paraId="6588A3EB" w14:textId="77777777" w:rsidR="00844EEB" w:rsidRPr="001175B4" w:rsidRDefault="00000000" w:rsidP="001175B4">
      <w:pPr>
        <w:pStyle w:val="a3"/>
        <w:widowControl/>
        <w:shd w:val="clear" w:color="auto" w:fill="FFFFFF"/>
        <w:spacing w:beforeAutospacing="0" w:afterAutospacing="0"/>
        <w:jc w:val="center"/>
        <w:rPr>
          <w:rFonts w:ascii="微软雅黑" w:eastAsia="微软雅黑" w:hAnsi="微软雅黑" w:cs="微软雅黑" w:hint="eastAsia"/>
          <w:color w:val="333333"/>
          <w:spacing w:val="8"/>
          <w:sz w:val="21"/>
          <w:szCs w:val="21"/>
        </w:rPr>
      </w:pPr>
      <w:r w:rsidRPr="001175B4">
        <w:rPr>
          <w:rFonts w:ascii="微软雅黑" w:eastAsia="微软雅黑" w:hAnsi="微软雅黑" w:cs="微软雅黑" w:hint="eastAsia"/>
          <w:noProof/>
          <w:color w:val="333333"/>
          <w:spacing w:val="8"/>
          <w:sz w:val="21"/>
          <w:szCs w:val="21"/>
          <w:shd w:val="clear" w:color="auto" w:fill="FFFFFF"/>
        </w:rPr>
        <w:lastRenderedPageBreak/>
        <w:drawing>
          <wp:inline distT="0" distB="0" distL="114300" distR="114300" wp14:anchorId="788198F6" wp14:editId="1ED60204">
            <wp:extent cx="5486400" cy="622935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456731" name="图片 2" descr="IMG_257"/>
                    <pic:cNvPicPr>
                      <a:picLocks noChangeAspect="1"/>
                    </pic:cNvPicPr>
                  </pic:nvPicPr>
                  <pic:blipFill>
                    <a:blip r:embed="rId9"/>
                    <a:stretch>
                      <a:fillRect/>
                    </a:stretch>
                  </pic:blipFill>
                  <pic:spPr>
                    <a:xfrm>
                      <a:off x="0" y="0"/>
                      <a:ext cx="5486400" cy="6229350"/>
                    </a:xfrm>
                    <a:prstGeom prst="rect">
                      <a:avLst/>
                    </a:prstGeom>
                    <a:noFill/>
                    <a:ln w="9525">
                      <a:noFill/>
                    </a:ln>
                  </pic:spPr>
                </pic:pic>
              </a:graphicData>
            </a:graphic>
          </wp:inline>
        </w:drawing>
      </w:r>
    </w:p>
    <w:p w14:paraId="4605644F"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6.2 分析观测结果，得出结论</w:t>
      </w:r>
    </w:p>
    <w:p w14:paraId="57E600CA"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6.2.1 高一学生科学探究能力总体水平低、差异大</w:t>
      </w:r>
    </w:p>
    <w:p w14:paraId="2DB93A46"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抽样学生的生物学科学探究能力综合得分为27.01分，得分率为61.39%，总体表现水平不高，标准差为6.12，说明不同的学生个体差异比较大。该学校为全县重点高中，生源是各初中的优秀学生，有城区和山区之分，家庭结构、经济情况更是各不同，这就导致学生以往的学习生活经历不同，进而影响到其科学探究能力的发展。</w:t>
      </w:r>
    </w:p>
    <w:p w14:paraId="35FD50B1"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6.2.2科学探究的基本操作能力较强</w:t>
      </w:r>
    </w:p>
    <w:p w14:paraId="520D7828"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从各分项结果看：基本操作能力的平均分是15.23分，得分率为76.15%，是3方面能力中得分最高的。原因在于基本操作是教材中明确列出的，学生更重视。同时，目前实际的教学模式主要是讲授，教师平时会对基本的实验操作技能反复讲解、强调，学生已基本掌握探究的一般步骤。</w:t>
      </w:r>
    </w:p>
    <w:p w14:paraId="69C778E9"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6.2.3科学探究的综合分析能力居中</w:t>
      </w:r>
    </w:p>
    <w:p w14:paraId="24766F71"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lastRenderedPageBreak/>
        <w:t>相比于基本操作能力，综合分析能力次之，得分率为55.19%，这与平时学校开展实验力度不足、存在应试教育</w:t>
      </w:r>
      <w:proofErr w:type="gramStart"/>
      <w:r w:rsidRPr="001175B4">
        <w:rPr>
          <w:rFonts w:ascii="宋体" w:eastAsia="宋体" w:hAnsi="宋体" w:cs="宋体" w:hint="eastAsia"/>
          <w:color w:val="333333"/>
          <w:spacing w:val="8"/>
          <w:sz w:val="21"/>
          <w:szCs w:val="21"/>
          <w:shd w:val="clear" w:color="auto" w:fill="FFFFFF"/>
        </w:rPr>
        <w:t>唯考试</w:t>
      </w:r>
      <w:proofErr w:type="gramEnd"/>
      <w:r w:rsidRPr="001175B4">
        <w:rPr>
          <w:rFonts w:ascii="宋体" w:eastAsia="宋体" w:hAnsi="宋体" w:cs="宋体" w:hint="eastAsia"/>
          <w:color w:val="333333"/>
          <w:spacing w:val="8"/>
          <w:sz w:val="21"/>
          <w:szCs w:val="21"/>
          <w:shd w:val="clear" w:color="auto" w:fill="FFFFFF"/>
        </w:rPr>
        <w:t>分数论等观念有关。其中，提出问题得分最低，平均分仅为1.68分，标准差为1.13，说明学生平时不善于深度思考，科学思维发展水平不足；在</w:t>
      </w:r>
      <w:proofErr w:type="gramStart"/>
      <w:r w:rsidRPr="001175B4">
        <w:rPr>
          <w:rFonts w:ascii="宋体" w:eastAsia="宋体" w:hAnsi="宋体" w:cs="宋体" w:hint="eastAsia"/>
          <w:color w:val="333333"/>
          <w:spacing w:val="8"/>
          <w:sz w:val="21"/>
          <w:szCs w:val="21"/>
          <w:shd w:val="clear" w:color="auto" w:fill="FFFFFF"/>
        </w:rPr>
        <w:t>作出</w:t>
      </w:r>
      <w:proofErr w:type="gramEnd"/>
      <w:r w:rsidRPr="001175B4">
        <w:rPr>
          <w:rFonts w:ascii="宋体" w:eastAsia="宋体" w:hAnsi="宋体" w:cs="宋体" w:hint="eastAsia"/>
          <w:color w:val="333333"/>
          <w:spacing w:val="8"/>
          <w:sz w:val="21"/>
          <w:szCs w:val="21"/>
          <w:shd w:val="clear" w:color="auto" w:fill="FFFFFF"/>
        </w:rPr>
        <w:t>假设、制订计划和得出结论方面，平均得分分别是2.57分2.32分、2.26分，表明学生的计划、推理、归纳、假设等综合分析能力水平处在中等，标准差在1.35-2.68之间，差异不明显，说明学生整体在思维能力水平方面还存在一定的共同性，可能因为都是高一学生，年龄也相仿，心理发展水平具有相似性。</w:t>
      </w:r>
    </w:p>
    <w:p w14:paraId="6E9E11FF"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6.2.4科学探究的评价创新能力最差</w:t>
      </w:r>
    </w:p>
    <w:p w14:paraId="41255C92" w14:textId="77777777" w:rsidR="00844EEB" w:rsidRPr="001175B4" w:rsidRDefault="00000000" w:rsidP="001175B4">
      <w:pPr>
        <w:pStyle w:val="a3"/>
        <w:widowControl/>
        <w:shd w:val="clear" w:color="auto" w:fill="FFFFFF"/>
        <w:spacing w:beforeAutospacing="0" w:afterAutospacing="0"/>
        <w:ind w:firstLine="480"/>
        <w:jc w:val="both"/>
        <w:rPr>
          <w:rFonts w:ascii="微软雅黑" w:eastAsia="微软雅黑" w:hAnsi="微软雅黑" w:cs="微软雅黑" w:hint="eastAsia"/>
          <w:color w:val="333333"/>
          <w:spacing w:val="8"/>
          <w:sz w:val="21"/>
          <w:szCs w:val="21"/>
        </w:rPr>
      </w:pPr>
      <w:r w:rsidRPr="001175B4">
        <w:rPr>
          <w:rFonts w:ascii="宋体" w:eastAsia="宋体" w:hAnsi="宋体" w:cs="宋体" w:hint="eastAsia"/>
          <w:color w:val="333333"/>
          <w:spacing w:val="8"/>
          <w:sz w:val="21"/>
          <w:szCs w:val="21"/>
          <w:shd w:val="clear" w:color="auto" w:fill="FFFFFF"/>
        </w:rPr>
        <w:t>创新意识是抓住创新机会、产生创新方法、启动创新思维的关键，但学生的评价创新能力最差，综合得分率仅为36.87%，其中表达交流为1.82分，标准差为5.13，得分较低与学生的书面和口头表达能力有关，同时也是现场观察的弊端所导致的，因为是分别测评单个学生，不同学生之间也没法交流，因此得分低。拓展创新能力是科学探究能力中非常重要的部分，但本次研究中学生平均得分为1.13分，是所有要素中得分最低的，标准差也最大为11.23，这说明学生在按部就班的操作方面还可以，但创新能力尤为不足，思维相对较为固化，思维活跃度低。同时，不同学生之间的拓展创新差异非常大，这与学生的科学探究基础有关，与长期应试教育、教学方式、科学探究训练、个人差异等均有关系。</w:t>
      </w:r>
    </w:p>
    <w:p w14:paraId="515D2D79" w14:textId="77777777" w:rsidR="00844EEB" w:rsidRPr="001175B4" w:rsidRDefault="00844EEB" w:rsidP="001175B4">
      <w:pPr>
        <w:rPr>
          <w:szCs w:val="21"/>
        </w:rPr>
      </w:pPr>
    </w:p>
    <w:sectPr w:rsidR="00844EEB" w:rsidRPr="001175B4">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451D3" w14:textId="77777777" w:rsidR="00BB559E" w:rsidRDefault="00BB559E" w:rsidP="001175B4">
      <w:r>
        <w:separator/>
      </w:r>
    </w:p>
  </w:endnote>
  <w:endnote w:type="continuationSeparator" w:id="0">
    <w:p w14:paraId="1A39BB02" w14:textId="77777777" w:rsidR="00BB559E" w:rsidRDefault="00BB559E" w:rsidP="0011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E90C" w14:textId="77777777" w:rsidR="001175B4" w:rsidRDefault="001175B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523604"/>
      <w:docPartObj>
        <w:docPartGallery w:val="Page Numbers (Bottom of Page)"/>
        <w:docPartUnique/>
      </w:docPartObj>
    </w:sdtPr>
    <w:sdtContent>
      <w:p w14:paraId="2B36A629" w14:textId="60345CC1" w:rsidR="001175B4" w:rsidRDefault="001175B4">
        <w:pPr>
          <w:pStyle w:val="a7"/>
          <w:jc w:val="center"/>
          <w:rPr>
            <w:rFonts w:hint="eastAsia"/>
          </w:rPr>
        </w:pPr>
        <w:r>
          <w:fldChar w:fldCharType="begin"/>
        </w:r>
        <w:r>
          <w:instrText>PAGE   \* MERGEFORMAT</w:instrText>
        </w:r>
        <w:r>
          <w:fldChar w:fldCharType="separate"/>
        </w:r>
        <w:r>
          <w:rPr>
            <w:lang w:val="zh-CN"/>
          </w:rPr>
          <w:t>2</w:t>
        </w:r>
        <w:r>
          <w:fldChar w:fldCharType="end"/>
        </w:r>
      </w:p>
    </w:sdtContent>
  </w:sdt>
  <w:p w14:paraId="468E65AE" w14:textId="77777777" w:rsidR="001175B4" w:rsidRDefault="001175B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7919" w14:textId="77777777" w:rsidR="001175B4" w:rsidRDefault="001175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06509" w14:textId="77777777" w:rsidR="00BB559E" w:rsidRDefault="00BB559E" w:rsidP="001175B4">
      <w:r>
        <w:separator/>
      </w:r>
    </w:p>
  </w:footnote>
  <w:footnote w:type="continuationSeparator" w:id="0">
    <w:p w14:paraId="319C1829" w14:textId="77777777" w:rsidR="00BB559E" w:rsidRDefault="00BB559E" w:rsidP="00117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9FFA7" w14:textId="77777777" w:rsidR="001175B4" w:rsidRDefault="001175B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0501" w14:textId="77777777" w:rsidR="001175B4" w:rsidRDefault="001175B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EC43" w14:textId="77777777" w:rsidR="001175B4" w:rsidRDefault="001175B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0CD0CCD"/>
    <w:rsid w:val="001175B4"/>
    <w:rsid w:val="00844EEB"/>
    <w:rsid w:val="00AA434E"/>
    <w:rsid w:val="00BB559E"/>
    <w:rsid w:val="00D82CFC"/>
    <w:rsid w:val="50CD0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AC64F"/>
  <w15:docId w15:val="{FC45EF7C-5424-4414-87DB-C3AD71DA3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rsid w:val="001175B4"/>
    <w:pPr>
      <w:tabs>
        <w:tab w:val="center" w:pos="4153"/>
        <w:tab w:val="right" w:pos="8306"/>
      </w:tabs>
      <w:snapToGrid w:val="0"/>
      <w:jc w:val="center"/>
    </w:pPr>
    <w:rPr>
      <w:sz w:val="18"/>
      <w:szCs w:val="18"/>
    </w:rPr>
  </w:style>
  <w:style w:type="character" w:customStyle="1" w:styleId="a6">
    <w:name w:val="页眉 字符"/>
    <w:basedOn w:val="a0"/>
    <w:link w:val="a5"/>
    <w:rsid w:val="001175B4"/>
    <w:rPr>
      <w:rFonts w:asciiTheme="minorHAnsi" w:eastAsiaTheme="minorEastAsia" w:hAnsiTheme="minorHAnsi" w:cstheme="minorBidi"/>
      <w:kern w:val="2"/>
      <w:sz w:val="18"/>
      <w:szCs w:val="18"/>
    </w:rPr>
  </w:style>
  <w:style w:type="paragraph" w:styleId="a7">
    <w:name w:val="footer"/>
    <w:basedOn w:val="a"/>
    <w:link w:val="a8"/>
    <w:uiPriority w:val="99"/>
    <w:rsid w:val="001175B4"/>
    <w:pPr>
      <w:tabs>
        <w:tab w:val="center" w:pos="4153"/>
        <w:tab w:val="right" w:pos="8306"/>
      </w:tabs>
      <w:snapToGrid w:val="0"/>
      <w:jc w:val="left"/>
    </w:pPr>
    <w:rPr>
      <w:sz w:val="18"/>
      <w:szCs w:val="18"/>
    </w:rPr>
  </w:style>
  <w:style w:type="character" w:customStyle="1" w:styleId="a8">
    <w:name w:val="页脚 字符"/>
    <w:basedOn w:val="a0"/>
    <w:link w:val="a7"/>
    <w:uiPriority w:val="99"/>
    <w:rsid w:val="001175B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529</Words>
  <Characters>3020</Characters>
  <Application>Microsoft Office Word</Application>
  <DocSecurity>0</DocSecurity>
  <Lines>25</Lines>
  <Paragraphs>7</Paragraphs>
  <ScaleCrop>false</ScaleCrop>
  <Company>北京凤凰学易科技有限公司</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旭 李</cp:lastModifiedBy>
  <cp:revision>2</cp:revision>
  <dcterms:created xsi:type="dcterms:W3CDTF">2021-01-30T08:19:00Z</dcterms:created>
  <dcterms:modified xsi:type="dcterms:W3CDTF">2024-12-26T10:26:00Z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